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56" w:rsidRDefault="00F77A56"/>
    <w:p w:rsidR="00F77A56" w:rsidRDefault="00F77A56">
      <w:r>
        <w:t>Въпросникът се състои от седем лист</w:t>
      </w:r>
      <w:r w:rsidR="00AF439D">
        <w:t>а</w:t>
      </w:r>
      <w:r>
        <w:t xml:space="preserve"> в</w:t>
      </w:r>
      <w:r w:rsidR="00E806A4">
        <w:t>ъв</w:t>
      </w:r>
      <w:r>
        <w:t xml:space="preserve"> </w:t>
      </w:r>
      <w:r w:rsidR="00071B1A">
        <w:t xml:space="preserve">формат </w:t>
      </w:r>
      <w:r w:rsidR="00071B1A">
        <w:rPr>
          <w:lang w:val="en-US"/>
        </w:rPr>
        <w:t xml:space="preserve">MS </w:t>
      </w:r>
      <w:r>
        <w:rPr>
          <w:lang w:val="en-US"/>
        </w:rPr>
        <w:t>Excel</w:t>
      </w:r>
      <w:r>
        <w:t>.</w:t>
      </w:r>
      <w:r w:rsidR="003B162A">
        <w:t xml:space="preserve"> В текста по-долу сме се постарали да обясним и да Ви помогнем да попълните възможно най</w:t>
      </w:r>
      <w:r w:rsidR="00E806A4">
        <w:t>-</w:t>
      </w:r>
      <w:r w:rsidR="003B162A">
        <w:t>точно въпросника. Успех!</w:t>
      </w:r>
    </w:p>
    <w:p w:rsidR="00212EA6" w:rsidRDefault="00F77A56" w:rsidP="00212EA6">
      <w:pPr>
        <w:pStyle w:val="Heading1"/>
      </w:pPr>
      <w:r>
        <w:t>Лист  „Планове“</w:t>
      </w:r>
    </w:p>
    <w:p w:rsidR="00F77A56" w:rsidRDefault="00AF439D">
      <w:r>
        <w:t>Този лист</w:t>
      </w:r>
      <w:r w:rsidR="00F77A56">
        <w:t xml:space="preserve"> изисква да отчетете дали имате планове за развитие на информационните си ресурси. Такива планове трябва да има. Очевидно е, че такива планове ще бъдат правени от администрацията</w:t>
      </w:r>
      <w:r w:rsidR="00E806A4">
        <w:t>,</w:t>
      </w:r>
      <w:r w:rsidR="00F77A56">
        <w:t xml:space="preserve"> само ако съществува реална надежда за финансиране</w:t>
      </w:r>
      <w:r>
        <w:t>то им</w:t>
      </w:r>
      <w:r w:rsidR="003B162A">
        <w:t xml:space="preserve"> и след това от изпълнението им</w:t>
      </w:r>
      <w:r w:rsidR="00071B1A">
        <w:rPr>
          <w:lang w:val="en-US"/>
        </w:rPr>
        <w:t>.</w:t>
      </w:r>
    </w:p>
    <w:p w:rsidR="00F77A56" w:rsidRDefault="00F77A56">
      <w:r>
        <w:t xml:space="preserve">Софтуерна група АКСТЪР би могла да Ви окаже съдействие в </w:t>
      </w:r>
      <w:r w:rsidRPr="003B162A">
        <w:rPr>
          <w:b/>
        </w:rPr>
        <w:t>изготвянето на такива планове</w:t>
      </w:r>
      <w:r w:rsidR="00AF439D" w:rsidRPr="003B162A">
        <w:rPr>
          <w:b/>
        </w:rPr>
        <w:t xml:space="preserve"> и изпълняването им</w:t>
      </w:r>
      <w:r w:rsidR="00AF439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4E04" w:rsidTr="00E04E04">
        <w:tc>
          <w:tcPr>
            <w:tcW w:w="3020" w:type="dxa"/>
          </w:tcPr>
          <w:p w:rsidR="00E04E04" w:rsidRDefault="00E04E04">
            <w:r>
              <w:t>Въпрос</w:t>
            </w:r>
          </w:p>
        </w:tc>
        <w:tc>
          <w:tcPr>
            <w:tcW w:w="3021" w:type="dxa"/>
          </w:tcPr>
          <w:p w:rsidR="00E04E04" w:rsidRDefault="00E04E04">
            <w:r>
              <w:t>Стандартен отговор</w:t>
            </w:r>
          </w:p>
        </w:tc>
        <w:tc>
          <w:tcPr>
            <w:tcW w:w="3021" w:type="dxa"/>
          </w:tcPr>
          <w:p w:rsidR="00E04E04" w:rsidRDefault="00021202" w:rsidP="00021202">
            <w:r>
              <w:t>Коментар</w:t>
            </w:r>
          </w:p>
        </w:tc>
      </w:tr>
      <w:tr w:rsidR="00E04E04" w:rsidTr="00E04E04">
        <w:tc>
          <w:tcPr>
            <w:tcW w:w="3020" w:type="dxa"/>
          </w:tcPr>
          <w:p w:rsidR="00E04E04" w:rsidRDefault="00E04E04">
            <w:r w:rsidRPr="00E04E04">
              <w:t>Във Вашата администрация планирате ли разработване на стратегически документи  в областта на електронното управление?</w:t>
            </w:r>
          </w:p>
        </w:tc>
        <w:tc>
          <w:tcPr>
            <w:tcW w:w="3021" w:type="dxa"/>
          </w:tcPr>
          <w:p w:rsidR="00E04E04" w:rsidRDefault="00E04E04">
            <w:r>
              <w:t>Не</w:t>
            </w:r>
          </w:p>
        </w:tc>
        <w:tc>
          <w:tcPr>
            <w:tcW w:w="3021" w:type="dxa"/>
          </w:tcPr>
          <w:p w:rsidR="00E04E04" w:rsidRDefault="00021202">
            <w:r>
              <w:t>Администрацията ни е малка и няма логика да разработва стратегически документи</w:t>
            </w:r>
            <w:r w:rsidRPr="00E04E04">
              <w:t xml:space="preserve"> в областта на електронното управление</w:t>
            </w:r>
          </w:p>
        </w:tc>
      </w:tr>
      <w:tr w:rsidR="00E04E04" w:rsidTr="00E04E04">
        <w:tc>
          <w:tcPr>
            <w:tcW w:w="3020" w:type="dxa"/>
          </w:tcPr>
          <w:p w:rsidR="00E04E04" w:rsidRDefault="00021202">
            <w:r w:rsidRPr="00021202">
              <w:t>Във Вашата администрация има ли разработен годишен план за обновяване на информационните ресурси за 2020 г.?</w:t>
            </w:r>
          </w:p>
        </w:tc>
        <w:tc>
          <w:tcPr>
            <w:tcW w:w="3021" w:type="dxa"/>
          </w:tcPr>
          <w:p w:rsidR="00E04E04" w:rsidRDefault="00021202">
            <w:r>
              <w:t>Не</w:t>
            </w:r>
          </w:p>
        </w:tc>
        <w:tc>
          <w:tcPr>
            <w:tcW w:w="3021" w:type="dxa"/>
          </w:tcPr>
          <w:p w:rsidR="00E04E04" w:rsidRDefault="00021202">
            <w:r>
              <w:t xml:space="preserve">Планираме да разработим при наличие на целево финансиране за </w:t>
            </w:r>
            <w:r w:rsidRPr="00021202">
              <w:t>обновяване на информационните ресурси за 2020 г.?</w:t>
            </w:r>
          </w:p>
        </w:tc>
      </w:tr>
      <w:tr w:rsidR="00E04E04" w:rsidTr="00E04E04">
        <w:tc>
          <w:tcPr>
            <w:tcW w:w="3020" w:type="dxa"/>
          </w:tcPr>
          <w:p w:rsidR="00E04E04" w:rsidRDefault="00021202">
            <w:r w:rsidRPr="00021202">
              <w:t>Необходими персонални компютри за подмяна на доставените преди 2014 г.</w:t>
            </w:r>
          </w:p>
        </w:tc>
        <w:tc>
          <w:tcPr>
            <w:tcW w:w="3021" w:type="dxa"/>
          </w:tcPr>
          <w:p w:rsidR="00E04E04" w:rsidRDefault="00021202" w:rsidP="00021202">
            <w:r>
              <w:t>ХХ бр.</w:t>
            </w:r>
          </w:p>
        </w:tc>
        <w:tc>
          <w:tcPr>
            <w:tcW w:w="3021" w:type="dxa"/>
          </w:tcPr>
          <w:p w:rsidR="00E04E04" w:rsidRDefault="00021202">
            <w:r>
              <w:t>Брой на морално остарелите компютри, които всеки момент могат да излязат от строя.</w:t>
            </w:r>
          </w:p>
        </w:tc>
      </w:tr>
      <w:tr w:rsidR="00021202" w:rsidTr="00E04E04">
        <w:tc>
          <w:tcPr>
            <w:tcW w:w="3020" w:type="dxa"/>
          </w:tcPr>
          <w:p w:rsidR="00021202" w:rsidRDefault="00021202" w:rsidP="00021202">
            <w:r w:rsidRPr="00021202">
              <w:t>Планирани персонални компютри  за подмяна през</w:t>
            </w:r>
            <w:r>
              <w:t xml:space="preserve"> 2020 г.</w:t>
            </w:r>
          </w:p>
        </w:tc>
        <w:tc>
          <w:tcPr>
            <w:tcW w:w="3021" w:type="dxa"/>
          </w:tcPr>
          <w:p w:rsidR="00021202" w:rsidRDefault="00021202" w:rsidP="00021202">
            <w:r>
              <w:t>ХХ бр.</w:t>
            </w:r>
          </w:p>
        </w:tc>
        <w:tc>
          <w:tcPr>
            <w:tcW w:w="3021" w:type="dxa"/>
          </w:tcPr>
          <w:p w:rsidR="00021202" w:rsidRDefault="00021202" w:rsidP="00474F16">
            <w:r>
              <w:t xml:space="preserve">Добра стратегия е да планирате </w:t>
            </w:r>
            <w:r w:rsidR="00474F16">
              <w:t xml:space="preserve">всяка година </w:t>
            </w:r>
            <w:r>
              <w:t>подмяната на 20% от необходимите Ви компютри. Това ще Ви осигури възможност на всеки 5 години да подменяте всички компютри, което за нашите ширини е приемлив (неразточителен) подход</w:t>
            </w:r>
            <w:r w:rsidR="0067236D">
              <w:t>.</w:t>
            </w:r>
          </w:p>
        </w:tc>
      </w:tr>
      <w:tr w:rsidR="00021202" w:rsidTr="00E04E04">
        <w:tc>
          <w:tcPr>
            <w:tcW w:w="3020" w:type="dxa"/>
          </w:tcPr>
          <w:p w:rsidR="00021202" w:rsidRDefault="00021202" w:rsidP="00021202">
            <w:r>
              <w:t xml:space="preserve">Планирани сървъри  за </w:t>
            </w:r>
          </w:p>
          <w:p w:rsidR="00021202" w:rsidRDefault="00021202" w:rsidP="00021202">
            <w:r>
              <w:t>2020 г.</w:t>
            </w:r>
          </w:p>
        </w:tc>
        <w:tc>
          <w:tcPr>
            <w:tcW w:w="3021" w:type="dxa"/>
          </w:tcPr>
          <w:p w:rsidR="00021202" w:rsidRDefault="00021202" w:rsidP="00021202"/>
        </w:tc>
        <w:tc>
          <w:tcPr>
            <w:tcW w:w="3021" w:type="dxa"/>
          </w:tcPr>
          <w:p w:rsidR="00021202" w:rsidRDefault="009D1CA4" w:rsidP="0067236D">
            <w:r>
              <w:t xml:space="preserve">Всички Ваши сървъри, които са купувани преди 2015 г. са с изтекъл или изтичащ работен ресурс. </w:t>
            </w:r>
            <w:r w:rsidR="0067236D">
              <w:t>Нормално е да очаквате в</w:t>
            </w:r>
            <w:r>
              <w:t xml:space="preserve">секи момент дисковите им масиви е да откажат и да загубите данните. Затова е правилно да планирате подмяната им или поне подмяна на дисковете им. Можем да Ви консултираме във всеки </w:t>
            </w:r>
            <w:r>
              <w:lastRenderedPageBreak/>
              <w:t>конкретен случай. Известен факт е, че гаранционният срок на сървърите, доставени по проекта</w:t>
            </w:r>
            <w:r w:rsidR="0067236D">
              <w:t xml:space="preserve"> „</w:t>
            </w:r>
            <w:r>
              <w:t>е-подем</w:t>
            </w:r>
            <w:r w:rsidR="0067236D">
              <w:t>“</w:t>
            </w:r>
            <w:r w:rsidR="00E806A4">
              <w:t>,</w:t>
            </w:r>
            <w:r>
              <w:t xml:space="preserve"> е изтекъл и може да се очаква загуба на информация.</w:t>
            </w:r>
          </w:p>
        </w:tc>
      </w:tr>
      <w:tr w:rsidR="00021202" w:rsidTr="00E04E04">
        <w:tc>
          <w:tcPr>
            <w:tcW w:w="3020" w:type="dxa"/>
          </w:tcPr>
          <w:p w:rsidR="00021202" w:rsidRDefault="009D1CA4" w:rsidP="009D1CA4">
            <w:pPr>
              <w:jc w:val="center"/>
            </w:pPr>
            <w:r w:rsidRPr="009D1CA4">
              <w:lastRenderedPageBreak/>
              <w:t>Планирани дискови масиви за 2020 г.</w:t>
            </w:r>
          </w:p>
        </w:tc>
        <w:tc>
          <w:tcPr>
            <w:tcW w:w="3021" w:type="dxa"/>
          </w:tcPr>
          <w:p w:rsidR="00021202" w:rsidRDefault="00021202" w:rsidP="00021202"/>
        </w:tc>
        <w:tc>
          <w:tcPr>
            <w:tcW w:w="3021" w:type="dxa"/>
          </w:tcPr>
          <w:p w:rsidR="00021202" w:rsidRDefault="009D1CA4" w:rsidP="0067236D">
            <w:r>
              <w:t>Дисковите масиви (дисковете) на сървърите имат гаранционен срок около 3 години. След този период в общия случай трябва</w:t>
            </w:r>
            <w:r w:rsidR="0067236D">
              <w:t xml:space="preserve"> </w:t>
            </w:r>
            <w:r>
              <w:t>да се очаква</w:t>
            </w:r>
            <w:r w:rsidR="0067236D">
              <w:t>,</w:t>
            </w:r>
            <w:r>
              <w:t xml:space="preserve"> че във всеки момент те</w:t>
            </w:r>
            <w:r w:rsidR="0067236D">
              <w:t xml:space="preserve"> могат</w:t>
            </w:r>
            <w:r>
              <w:t xml:space="preserve"> откажат. Добра стратегия е</w:t>
            </w:r>
            <w:r w:rsidR="0067236D">
              <w:t>,</w:t>
            </w:r>
            <w:r>
              <w:t xml:space="preserve"> след като дискът е работил 3-4 години</w:t>
            </w:r>
            <w:r w:rsidR="0067236D">
              <w:t>,</w:t>
            </w:r>
            <w:r>
              <w:t xml:space="preserve"> той да бъде подменен с нов, а стария</w:t>
            </w:r>
            <w:r w:rsidR="0067236D">
              <w:t>т</w:t>
            </w:r>
            <w:r>
              <w:t xml:space="preserve"> диск да бъде поставен на работна станция, където ще изпълнява помощна роля и излизането му от строя няма да нанесе вреди на администрацията.</w:t>
            </w:r>
          </w:p>
        </w:tc>
      </w:tr>
      <w:tr w:rsidR="00021202" w:rsidTr="00E04E04">
        <w:tc>
          <w:tcPr>
            <w:tcW w:w="3020" w:type="dxa"/>
          </w:tcPr>
          <w:p w:rsidR="00021202" w:rsidRDefault="009D1CA4" w:rsidP="00021202">
            <w:r w:rsidRPr="009D1CA4">
              <w:t>Планирани за подновяване мрежови устройства за 2020 г.</w:t>
            </w:r>
          </w:p>
        </w:tc>
        <w:tc>
          <w:tcPr>
            <w:tcW w:w="3021" w:type="dxa"/>
          </w:tcPr>
          <w:p w:rsidR="00021202" w:rsidRDefault="00021202" w:rsidP="00021202"/>
        </w:tc>
        <w:tc>
          <w:tcPr>
            <w:tcW w:w="3021" w:type="dxa"/>
          </w:tcPr>
          <w:p w:rsidR="00021202" w:rsidRDefault="009D1CA4" w:rsidP="00E806A4">
            <w:r>
              <w:t xml:space="preserve">Мрежовите устройства </w:t>
            </w:r>
            <w:r w:rsidR="00E806A4">
              <w:t>с</w:t>
            </w:r>
            <w:r>
              <w:t>а с дълъг период на работа, но трябва да бъдат тествани периодично. В случай че се установят проблеми – просто трябва</w:t>
            </w:r>
            <w:r w:rsidR="0067236D">
              <w:t xml:space="preserve"> </w:t>
            </w:r>
            <w:r>
              <w:t>да бъдат заменени с по-нови такива.</w:t>
            </w:r>
          </w:p>
        </w:tc>
      </w:tr>
    </w:tbl>
    <w:p w:rsidR="00F77A56" w:rsidRDefault="00F77A56"/>
    <w:p w:rsidR="00F77A56" w:rsidRDefault="009D1CA4" w:rsidP="00212EA6">
      <w:pPr>
        <w:pStyle w:val="Heading1"/>
      </w:pPr>
      <w:r>
        <w:t>Лист „Софтуер“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1CA4" w:rsidTr="008230A1">
        <w:tc>
          <w:tcPr>
            <w:tcW w:w="3020" w:type="dxa"/>
          </w:tcPr>
          <w:p w:rsidR="009D1CA4" w:rsidRDefault="009D1CA4" w:rsidP="008230A1">
            <w:r>
              <w:t>Въпрос</w:t>
            </w:r>
          </w:p>
        </w:tc>
        <w:tc>
          <w:tcPr>
            <w:tcW w:w="3021" w:type="dxa"/>
          </w:tcPr>
          <w:p w:rsidR="009D1CA4" w:rsidRDefault="009D1CA4" w:rsidP="008230A1">
            <w:r>
              <w:t>Стандартен отговор</w:t>
            </w:r>
          </w:p>
        </w:tc>
        <w:tc>
          <w:tcPr>
            <w:tcW w:w="3021" w:type="dxa"/>
          </w:tcPr>
          <w:p w:rsidR="009D1CA4" w:rsidRDefault="009D1CA4" w:rsidP="008230A1">
            <w:r>
              <w:t>Коментар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230A1">
            <w:r w:rsidRPr="0083493B">
              <w:t>Какви  операционни системи за работни станции използвате във Вашата администрация*?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Pr="00071B1A" w:rsidRDefault="00071B1A" w:rsidP="008230A1">
            <w:pPr>
              <w:rPr>
                <w:lang w:val="en-US"/>
              </w:rPr>
            </w:pPr>
            <w:r>
              <w:rPr>
                <w:lang w:val="en-US"/>
              </w:rPr>
              <w:t>Windows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230A1">
            <w:r w:rsidRPr="0083493B">
              <w:t>Какви  операционни системи за сървъри използвате във Вашата администрация?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Pr="00071B1A" w:rsidRDefault="00071B1A" w:rsidP="0067236D">
            <w:pPr>
              <w:rPr>
                <w:lang w:val="en-US"/>
              </w:rPr>
            </w:pPr>
            <w:r>
              <w:t>Сървърите, които обслужват системите АКСТЪР в общинската мрежа най</w:t>
            </w:r>
            <w:r w:rsidR="0067236D">
              <w:t>-</w:t>
            </w:r>
            <w:r>
              <w:t xml:space="preserve">често използват </w:t>
            </w:r>
            <w:r>
              <w:rPr>
                <w:lang w:val="en-US"/>
              </w:rPr>
              <w:t xml:space="preserve">Windows. </w:t>
            </w:r>
            <w:r>
              <w:t xml:space="preserve">Централните сървъри, </w:t>
            </w:r>
            <w:r w:rsidR="0067236D">
              <w:t>к</w:t>
            </w:r>
            <w:r>
              <w:t xml:space="preserve">оито предоставят е-услуги ползват операционната система </w:t>
            </w:r>
            <w:r>
              <w:rPr>
                <w:lang w:val="en-US"/>
              </w:rPr>
              <w:t>Linux</w:t>
            </w:r>
            <w:r w:rsidR="0067236D">
              <w:t xml:space="preserve"> /</w:t>
            </w:r>
            <w:r>
              <w:t>Линукс</w:t>
            </w:r>
            <w:r w:rsidR="0067236D">
              <w:t>/</w:t>
            </w:r>
            <w:r>
              <w:rPr>
                <w:lang w:val="en-US"/>
              </w:rPr>
              <w:t xml:space="preserve">. </w:t>
            </w:r>
            <w:r>
              <w:t>Тъй като полето е  едно по</w:t>
            </w:r>
            <w:r w:rsidR="0067236D">
              <w:t>-</w:t>
            </w:r>
            <w:r>
              <w:t xml:space="preserve">достоверният отговор е </w:t>
            </w:r>
            <w:r>
              <w:rPr>
                <w:lang w:val="en-US"/>
              </w:rPr>
              <w:t>Windows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3493B">
            <w:r w:rsidRPr="0083493B">
              <w:t xml:space="preserve">Какви  системи за </w:t>
            </w:r>
            <w:r w:rsidRPr="0083493B">
              <w:lastRenderedPageBreak/>
              <w:t>управление на бази данни използвате във Вашата администрация?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Pr="00071B1A" w:rsidRDefault="00071B1A" w:rsidP="00E806A4">
            <w:pPr>
              <w:rPr>
                <w:lang w:val="en-US"/>
              </w:rPr>
            </w:pPr>
            <w:r>
              <w:t xml:space="preserve">По-голямата част от </w:t>
            </w:r>
            <w:r>
              <w:lastRenderedPageBreak/>
              <w:t xml:space="preserve">системите АКСТЪР използват </w:t>
            </w:r>
            <w:r w:rsidR="00E806A4">
              <w:rPr>
                <w:lang w:val="en-US"/>
              </w:rPr>
              <w:t>Postgre</w:t>
            </w:r>
            <w:r>
              <w:rPr>
                <w:lang w:val="en-US"/>
              </w:rPr>
              <w:t xml:space="preserve">SQL .  </w:t>
            </w:r>
            <w:r>
              <w:t xml:space="preserve">Част от системите, ползват </w:t>
            </w:r>
            <w:r>
              <w:rPr>
                <w:lang w:val="en-US"/>
              </w:rPr>
              <w:t xml:space="preserve">Firebird SQL, </w:t>
            </w:r>
            <w:r>
              <w:t>но предстои миграция</w:t>
            </w:r>
            <w:r w:rsidR="0067236D">
              <w:t>та им</w:t>
            </w:r>
            <w:r>
              <w:t xml:space="preserve"> в следващите 3</w:t>
            </w:r>
            <w:r w:rsidR="0067236D">
              <w:t>-</w:t>
            </w:r>
            <w:r>
              <w:t xml:space="preserve">4 години за тези приложения, затова по-достоверният отговор е </w:t>
            </w:r>
            <w:proofErr w:type="spellStart"/>
            <w:r w:rsidR="00212EA6">
              <w:rPr>
                <w:lang w:val="en-US"/>
              </w:rPr>
              <w:t>PostgresSQL</w:t>
            </w:r>
            <w:proofErr w:type="spellEnd"/>
            <w:r w:rsidR="00212EA6">
              <w:rPr>
                <w:lang w:val="en-US"/>
              </w:rPr>
              <w:t xml:space="preserve"> .  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230A1">
            <w:r w:rsidRPr="0083493B">
              <w:lastRenderedPageBreak/>
              <w:t>Какви  офис системи използвате във Вашата администрация?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Pr="00212EA6" w:rsidRDefault="00212EA6" w:rsidP="00E806A4">
            <w:r>
              <w:t xml:space="preserve">Най често клиентите ни използват </w:t>
            </w:r>
            <w:r>
              <w:rPr>
                <w:lang w:val="en-US"/>
              </w:rPr>
              <w:t xml:space="preserve">MS OFFICE . </w:t>
            </w:r>
            <w:r>
              <w:t>В много екзотични случа</w:t>
            </w:r>
            <w:r w:rsidR="00E806A4">
              <w:t>и</w:t>
            </w:r>
            <w:r>
              <w:t xml:space="preserve"> и при частните ни клиенти се използва </w:t>
            </w:r>
            <w:r w:rsidR="0067236D">
              <w:t>О</w:t>
            </w:r>
            <w:r w:rsidR="0067236D">
              <w:rPr>
                <w:lang w:val="en-US"/>
              </w:rPr>
              <w:t>pen office</w:t>
            </w:r>
            <w:r>
              <w:t>.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3493B">
            <w:pPr>
              <w:jc w:val="both"/>
            </w:pPr>
            <w:r w:rsidRPr="0083493B">
              <w:t>Какви платформи за виртуализация използвате във Вашата администрация?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Default="00212EA6" w:rsidP="008230A1">
            <w:r>
              <w:t>Ако терминът „Платформа за визуализация не Ви говори нищо – отговорът е, че не използвате такива.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3493B">
            <w:r w:rsidRPr="0083493B">
              <w:t>Осигурени ли са лицензи за 2020 г. за използваните във Вашата администрация системи и платформи?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Pr="0067236D" w:rsidRDefault="00212EA6" w:rsidP="008230A1">
            <w:r>
              <w:t>Това е отговор, който знаят специалистите в ДАЕУ и техните колеги от МС</w:t>
            </w:r>
            <w:r w:rsidR="0067236D">
              <w:rPr>
                <w:lang w:val="en-US"/>
              </w:rPr>
              <w:t xml:space="preserve">. </w:t>
            </w:r>
            <w:r w:rsidR="0067236D">
              <w:t>Няма логика Държавата да купува централизирано софтуер и същият софтуер да бъде купуван отделно от държавните и общинските администрации.</w:t>
            </w:r>
          </w:p>
        </w:tc>
      </w:tr>
      <w:tr w:rsidR="009D1CA4" w:rsidTr="008230A1">
        <w:tc>
          <w:tcPr>
            <w:tcW w:w="3020" w:type="dxa"/>
          </w:tcPr>
          <w:p w:rsidR="009D1CA4" w:rsidRDefault="0083493B" w:rsidP="008230A1">
            <w:r w:rsidRPr="0083493B">
              <w:t>Осигурени ли са лицензи за 2020 г. за мрежовите системи?</w:t>
            </w:r>
          </w:p>
        </w:tc>
        <w:tc>
          <w:tcPr>
            <w:tcW w:w="3021" w:type="dxa"/>
          </w:tcPr>
          <w:p w:rsidR="009D1CA4" w:rsidRDefault="009D1CA4" w:rsidP="008230A1"/>
        </w:tc>
        <w:tc>
          <w:tcPr>
            <w:tcW w:w="3021" w:type="dxa"/>
          </w:tcPr>
          <w:p w:rsidR="009D1CA4" w:rsidRDefault="00212EA6" w:rsidP="008230A1">
            <w:r>
              <w:t>Доколкото познаваме такива системи не се използват в малките администрации, а в големите има администратори, които могат компетентно да отговорят.</w:t>
            </w:r>
          </w:p>
        </w:tc>
      </w:tr>
    </w:tbl>
    <w:p w:rsidR="009D1CA4" w:rsidRDefault="009D1CA4"/>
    <w:p w:rsidR="009D1CA4" w:rsidRDefault="009D1CA4"/>
    <w:p w:rsidR="009D1CA4" w:rsidRDefault="009D1CA4"/>
    <w:p w:rsidR="009D1CA4" w:rsidRDefault="0083493B" w:rsidP="00212EA6">
      <w:pPr>
        <w:pStyle w:val="Heading1"/>
      </w:pPr>
      <w:r>
        <w:t>Лист „Информационни системи“</w:t>
      </w:r>
    </w:p>
    <w:p w:rsidR="00BC726C" w:rsidRDefault="00BC726C"/>
    <w:p w:rsidR="00881967" w:rsidRDefault="00881967">
      <w:r>
        <w:t>В тази бланка е необходимо да се попълни броя</w:t>
      </w:r>
      <w:r w:rsidR="00212EA6">
        <w:t>т</w:t>
      </w:r>
      <w:r>
        <w:t xml:space="preserve"> на притежаваните от администрацията информационни системи. Съгласно дефинициите, дадени в бланката отделните </w:t>
      </w:r>
      <w:r w:rsidR="0083493B">
        <w:t>с</w:t>
      </w:r>
      <w:r>
        <w:t>истеми АКСТЪР попадат в следните категории: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81967" w:rsidRPr="00881967" w:rsidTr="00881967">
        <w:trPr>
          <w:trHeight w:val="1995"/>
        </w:trPr>
        <w:tc>
          <w:tcPr>
            <w:tcW w:w="4531" w:type="dxa"/>
            <w:shd w:val="clear" w:color="auto" w:fill="auto"/>
            <w:vAlign w:val="center"/>
            <w:hideMark/>
          </w:tcPr>
          <w:p w:rsidR="00881967" w:rsidRP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819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* </w:t>
            </w:r>
            <w:r w:rsidRPr="008819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Специализирани информационни системи –</w:t>
            </w:r>
            <w:r w:rsidRPr="008819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  <w:t xml:space="preserve"> системи, които предоставят функционалност, необходима на определена администрация да изпълнява нормативните си задължения в съответствие със специален закон в съответната предметна област, напр. регистрово производство, контролна дейност, разплащания и др.;</w:t>
            </w:r>
          </w:p>
        </w:tc>
        <w:tc>
          <w:tcPr>
            <w:tcW w:w="4531" w:type="dxa"/>
          </w:tcPr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ИМОТИ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„Кмете виж“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ГИС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НАКАЗАТЕЛНИ ПОСТАНОВЛЕНИЯ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ТЪРГОВИЯ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ОБЩИНСКИ ВЗЕМАНИЯ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ЖИЛИЩНА КАРТОТЕКА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ЕТАЖНА СОБСТВЕНОСТ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МДТ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ТЕМИДА</w:t>
            </w:r>
          </w:p>
          <w:p w:rsidR="00F146B4" w:rsidRDefault="00E806A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КАСА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НАЕМИ</w:t>
            </w:r>
          </w:p>
          <w:p w:rsidR="00F146B4" w:rsidRP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81967" w:rsidRPr="00881967" w:rsidTr="00881967">
        <w:trPr>
          <w:trHeight w:val="1665"/>
        </w:trPr>
        <w:tc>
          <w:tcPr>
            <w:tcW w:w="4531" w:type="dxa"/>
            <w:shd w:val="clear" w:color="auto" w:fill="auto"/>
            <w:vAlign w:val="center"/>
            <w:hideMark/>
          </w:tcPr>
          <w:p w:rsidR="00881967" w:rsidRP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819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Информационни системи с общо предназначение –</w:t>
            </w:r>
            <w:r w:rsidRPr="008819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  <w:t xml:space="preserve"> системи, които са приложими за всички лица по чл.1 ал.1 и ал.2 от ЗЕУ и предоставят присъщо необходими функции за изпълнението на служебните задължения (деловодни и документооборотни, финансово-счетоводни, управление на активи, нормативно-справочни и др.)</w:t>
            </w:r>
          </w:p>
        </w:tc>
        <w:tc>
          <w:tcPr>
            <w:tcW w:w="4531" w:type="dxa"/>
          </w:tcPr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ОФИС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УЕБ/МОБИЛЕН ОФИС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ОБЩИНСКИ СЪВЕТ</w:t>
            </w:r>
          </w:p>
          <w:p w:rsidR="00F146B4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АКСТЪР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PKI</w:t>
            </w:r>
            <w:r w:rsidR="00F146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881967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ДОГОВОРИ</w:t>
            </w:r>
          </w:p>
          <w:p w:rsid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АКСТЪР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SMS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ПРОФИЛ НА КУПУВАЧА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ПОРТАЛ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ДЕЛОВОДНА СПРАВКА</w:t>
            </w:r>
          </w:p>
          <w:p w:rsid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КМЕТСТВА</w:t>
            </w:r>
          </w:p>
          <w:p w:rsidR="00F146B4" w:rsidRPr="00F146B4" w:rsidRDefault="00F146B4" w:rsidP="00F14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УСЛУГИ</w:t>
            </w:r>
          </w:p>
        </w:tc>
      </w:tr>
      <w:tr w:rsidR="00881967" w:rsidRPr="00881967" w:rsidTr="00881967">
        <w:trPr>
          <w:trHeight w:val="1980"/>
        </w:trPr>
        <w:tc>
          <w:tcPr>
            <w:tcW w:w="4531" w:type="dxa"/>
            <w:shd w:val="clear" w:color="auto" w:fill="auto"/>
            <w:vAlign w:val="center"/>
            <w:hideMark/>
          </w:tcPr>
          <w:p w:rsidR="00881967" w:rsidRP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819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Поддържащи системи – </w:t>
            </w:r>
            <w:r w:rsidRPr="0088196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bg-BG"/>
              </w:rPr>
              <w:t xml:space="preserve">инфраструктурни системи, които поддържат ИТ услуги и реализират ключови функции по защита на информацията, отчитане, разпространяване и регистриране на единно време, архивиране на стъпките по изпълнението на административните услуги и др. приложими в хода на изпълнение на услугата. </w:t>
            </w:r>
          </w:p>
        </w:tc>
        <w:tc>
          <w:tcPr>
            <w:tcW w:w="4531" w:type="dxa"/>
          </w:tcPr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КОМУНИКАТОР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е-ВРЪЧВАНЕ</w:t>
            </w:r>
          </w:p>
          <w:p w:rsidR="00881967" w:rsidRDefault="00881967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БЕКЪП</w:t>
            </w:r>
          </w:p>
          <w:p w:rsidR="00F146B4" w:rsidRPr="00F146B4" w:rsidRDefault="00F146B4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КОНТРОЛ</w:t>
            </w:r>
          </w:p>
        </w:tc>
      </w:tr>
      <w:tr w:rsidR="00212EA6" w:rsidRPr="00881967" w:rsidTr="00212EA6">
        <w:trPr>
          <w:trHeight w:val="588"/>
        </w:trPr>
        <w:tc>
          <w:tcPr>
            <w:tcW w:w="4531" w:type="dxa"/>
            <w:shd w:val="clear" w:color="auto" w:fill="auto"/>
            <w:vAlign w:val="center"/>
          </w:tcPr>
          <w:p w:rsidR="00212EA6" w:rsidRPr="00881967" w:rsidRDefault="00212EA6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31" w:type="dxa"/>
          </w:tcPr>
          <w:p w:rsidR="00212EA6" w:rsidRDefault="00212EA6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212EA6" w:rsidRPr="00881967" w:rsidTr="00881967">
        <w:trPr>
          <w:trHeight w:val="1980"/>
        </w:trPr>
        <w:tc>
          <w:tcPr>
            <w:tcW w:w="4531" w:type="dxa"/>
            <w:shd w:val="clear" w:color="auto" w:fill="auto"/>
            <w:vAlign w:val="center"/>
          </w:tcPr>
          <w:p w:rsidR="00212EA6" w:rsidRPr="00881967" w:rsidRDefault="00212EA6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12E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Информационни системи с възможност за работа през мобилно устройство</w:t>
            </w:r>
          </w:p>
        </w:tc>
        <w:tc>
          <w:tcPr>
            <w:tcW w:w="4531" w:type="dxa"/>
          </w:tcPr>
          <w:p w:rsidR="00212EA6" w:rsidRDefault="00212EA6" w:rsidP="00881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МОБИЛЕН ОФИС</w:t>
            </w:r>
          </w:p>
          <w:p w:rsidR="00212EA6" w:rsidRDefault="00212EA6" w:rsidP="0021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ПРОФИЛ НА КУПУВАЧА</w:t>
            </w:r>
          </w:p>
          <w:p w:rsidR="00212EA6" w:rsidRDefault="00212EA6" w:rsidP="0021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ПОРТАЛ</w:t>
            </w:r>
          </w:p>
          <w:p w:rsidR="00212EA6" w:rsidRDefault="00212EA6" w:rsidP="0021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ДЕЛОВОДНА СПРАВКА</w:t>
            </w:r>
          </w:p>
          <w:p w:rsidR="00212EA6" w:rsidRDefault="00212EA6" w:rsidP="00212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УСЛУГИ</w:t>
            </w:r>
          </w:p>
          <w:p w:rsidR="00424683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„Кмете виж“</w:t>
            </w:r>
          </w:p>
          <w:p w:rsidR="00424683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ГИС (модул от АКСТЪР ГИС)</w:t>
            </w:r>
          </w:p>
        </w:tc>
      </w:tr>
      <w:tr w:rsidR="00245A8C" w:rsidRPr="00881967" w:rsidTr="00245A8C">
        <w:trPr>
          <w:trHeight w:val="850"/>
        </w:trPr>
        <w:tc>
          <w:tcPr>
            <w:tcW w:w="4531" w:type="dxa"/>
            <w:shd w:val="clear" w:color="auto" w:fill="auto"/>
            <w:vAlign w:val="center"/>
          </w:tcPr>
          <w:p w:rsidR="00245A8C" w:rsidRPr="00424683" w:rsidRDefault="00245A8C" w:rsidP="00D36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Какъв е обемът на базите данни към 30.6.2019 г.?</w:t>
            </w:r>
          </w:p>
          <w:p w:rsidR="00245A8C" w:rsidRPr="00424683" w:rsidRDefault="00245A8C" w:rsidP="00D36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(TB)"</w:t>
            </w:r>
          </w:p>
        </w:tc>
        <w:tc>
          <w:tcPr>
            <w:tcW w:w="4531" w:type="dxa"/>
          </w:tcPr>
          <w:p w:rsidR="00245A8C" w:rsidRDefault="00245A8C" w:rsidP="00D36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45A8C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Ако проверите моментният обем ще получите необходимата изходна  информация.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 Обемът може да се 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lastRenderedPageBreak/>
              <w:t>определи ако се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определи обема на директорията, в която се съхраняват базите от данни.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Имената на папките са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 различни за различните клиенти и от съображения за сигурност можем да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Ви 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помогнем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, ако позвъните на телефоните на центъра за обслужване на клиенти АКСТЪР</w:t>
            </w:r>
            <w:r w:rsidRPr="0042468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424683" w:rsidRPr="00881967" w:rsidTr="00424683">
        <w:trPr>
          <w:trHeight w:val="1051"/>
        </w:trPr>
        <w:tc>
          <w:tcPr>
            <w:tcW w:w="4531" w:type="dxa"/>
            <w:shd w:val="clear" w:color="auto" w:fill="auto"/>
            <w:vAlign w:val="center"/>
          </w:tcPr>
          <w:p w:rsidR="00424683" w:rsidRPr="00424683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"Какъв е обемът на базите данни (БД) към 31.12.2018 г.?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(TB)"</w:t>
            </w: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424683" w:rsidRPr="00212EA6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</w:p>
        </w:tc>
        <w:tc>
          <w:tcPr>
            <w:tcW w:w="4531" w:type="dxa"/>
          </w:tcPr>
          <w:p w:rsidR="00424683" w:rsidRPr="00424683" w:rsidRDefault="00245A8C" w:rsidP="00245A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Най вероятно не сте си записвали обема на базите данни. </w:t>
            </w:r>
            <w:r w:rsidRPr="00245A8C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Такава статистика служебно не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се </w:t>
            </w:r>
            <w:r w:rsidRPr="00245A8C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води, но ако разделите определеният обем на базите данни на месеците, които системите са работили можете да установите нарастването на базите данни за месец. След това с прости сметки можете да получите достатъчно за практиката достоверни отговори</w:t>
            </w:r>
          </w:p>
        </w:tc>
      </w:tr>
      <w:tr w:rsidR="00424683" w:rsidRPr="00881967" w:rsidTr="00881967">
        <w:trPr>
          <w:trHeight w:val="1980"/>
        </w:trPr>
        <w:tc>
          <w:tcPr>
            <w:tcW w:w="4531" w:type="dxa"/>
            <w:shd w:val="clear" w:color="auto" w:fill="auto"/>
            <w:vAlign w:val="center"/>
          </w:tcPr>
          <w:p w:rsidR="00424683" w:rsidRPr="00212EA6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(TB)"</w:t>
            </w: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  <w:t>Какво е нарастването на БД за 2018 г. спрямо 2017 г.?                    (%)</w:t>
            </w: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  <w:t>"</w:t>
            </w:r>
          </w:p>
          <w:p w:rsidR="00424683" w:rsidRPr="00212EA6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31" w:type="dxa"/>
          </w:tcPr>
          <w:p w:rsidR="00424683" w:rsidRPr="00245A8C" w:rsidRDefault="00245A8C" w:rsidP="00245A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45A8C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Виж. т. „Какъв е обемът на базите данни (БД) към 31.12.2018 г.? (TB)"</w:t>
            </w:r>
          </w:p>
        </w:tc>
      </w:tr>
      <w:tr w:rsidR="00424683" w:rsidRPr="00881967" w:rsidTr="00881967">
        <w:trPr>
          <w:trHeight w:val="1980"/>
        </w:trPr>
        <w:tc>
          <w:tcPr>
            <w:tcW w:w="4531" w:type="dxa"/>
            <w:shd w:val="clear" w:color="auto" w:fill="auto"/>
            <w:vAlign w:val="center"/>
          </w:tcPr>
          <w:p w:rsidR="00424683" w:rsidRPr="00424683" w:rsidRDefault="0042468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4246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Посочете начина на идентификаци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я на вътрешни потребители на ИС</w:t>
            </w:r>
          </w:p>
        </w:tc>
        <w:tc>
          <w:tcPr>
            <w:tcW w:w="4531" w:type="dxa"/>
          </w:tcPr>
          <w:p w:rsidR="00C72AE3" w:rsidRPr="00C72AE3" w:rsidRDefault="00424683" w:rsidP="00C72AE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C72AE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Правилн</w:t>
            </w:r>
            <w:r w:rsidR="00C72AE3" w:rsidRPr="00C72AE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 xml:space="preserve">ият отговор </w:t>
            </w:r>
            <w:r w:rsidRPr="00C72AE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  <w:t>е</w:t>
            </w:r>
          </w:p>
          <w:p w:rsidR="00C72AE3" w:rsidRDefault="00C72AE3" w:rsidP="00C72AE3">
            <w:pPr>
              <w:rPr>
                <w:rFonts w:ascii="Calibri" w:hAnsi="Calibri" w:cs="Calibri"/>
                <w:color w:val="000000"/>
              </w:rPr>
            </w:pPr>
            <w:r w:rsidRPr="00C72AE3">
              <w:rPr>
                <w:rFonts w:ascii="Calibri" w:hAnsi="Calibri" w:cs="Calibri"/>
                <w:b/>
                <w:color w:val="000000"/>
              </w:rPr>
              <w:t>„Централизирано (през дом</w:t>
            </w:r>
            <w:r>
              <w:rPr>
                <w:rFonts w:ascii="Calibri" w:hAnsi="Calibri" w:cs="Calibri"/>
                <w:b/>
                <w:color w:val="000000"/>
              </w:rPr>
              <w:t>ейн)</w:t>
            </w:r>
            <w:r>
              <w:rPr>
                <w:rFonts w:ascii="Calibri" w:hAnsi="Calibri" w:cs="Calibri"/>
                <w:color w:val="000000"/>
              </w:rPr>
              <w:t>“</w:t>
            </w:r>
          </w:p>
          <w:p w:rsidR="00C72AE3" w:rsidRDefault="00C72AE3" w:rsidP="00C72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Съветът ни е максимално бързо да се промени от:</w:t>
            </w:r>
          </w:p>
          <w:p w:rsidR="00C72AE3" w:rsidRPr="00C72AE3" w:rsidRDefault="00C72AE3" w:rsidP="00C72AE3">
            <w:pPr>
              <w:rPr>
                <w:rFonts w:ascii="Calibri" w:hAnsi="Calibri" w:cs="Calibri"/>
                <w:b/>
                <w:color w:val="000000"/>
              </w:rPr>
            </w:pPr>
            <w:r w:rsidRPr="00C72AE3">
              <w:rPr>
                <w:rFonts w:ascii="Calibri" w:hAnsi="Calibri" w:cs="Calibri"/>
                <w:b/>
                <w:color w:val="000000"/>
              </w:rPr>
              <w:t>„Локално за системата (</w:t>
            </w:r>
            <w:proofErr w:type="spellStart"/>
            <w:r w:rsidRPr="00C72AE3">
              <w:rPr>
                <w:rFonts w:ascii="Calibri" w:hAnsi="Calibri" w:cs="Calibri"/>
                <w:b/>
                <w:color w:val="000000"/>
              </w:rPr>
              <w:t>Stand</w:t>
            </w:r>
            <w:proofErr w:type="spellEnd"/>
            <w:r w:rsidRPr="00C72AE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72AE3">
              <w:rPr>
                <w:rFonts w:ascii="Calibri" w:hAnsi="Calibri" w:cs="Calibri"/>
                <w:b/>
                <w:color w:val="000000"/>
              </w:rPr>
              <w:t>alone</w:t>
            </w:r>
            <w:proofErr w:type="spellEnd"/>
            <w:r w:rsidRPr="00C72AE3">
              <w:rPr>
                <w:rFonts w:ascii="Calibri" w:hAnsi="Calibri" w:cs="Calibri"/>
                <w:b/>
                <w:color w:val="000000"/>
              </w:rPr>
              <w:t>)“</w:t>
            </w:r>
          </w:p>
          <w:p w:rsidR="00C72AE3" w:rsidRPr="00C72AE3" w:rsidRDefault="00C72AE3" w:rsidP="00C72AE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</w:t>
            </w:r>
            <w:r w:rsidRPr="00C72AE3">
              <w:rPr>
                <w:rFonts w:ascii="Calibri" w:hAnsi="Calibri" w:cs="Calibri"/>
                <w:b/>
                <w:color w:val="000000"/>
              </w:rPr>
              <w:t>„</w:t>
            </w:r>
            <w:r>
              <w:rPr>
                <w:rFonts w:ascii="Calibri" w:hAnsi="Calibri" w:cs="Calibri"/>
                <w:b/>
                <w:color w:val="000000"/>
              </w:rPr>
              <w:t>Централизирано (през домейн)</w:t>
            </w:r>
            <w:r w:rsidRPr="00C72AE3">
              <w:rPr>
                <w:rFonts w:ascii="Calibri" w:hAnsi="Calibri" w:cs="Calibri"/>
                <w:b/>
                <w:color w:val="000000"/>
              </w:rPr>
              <w:t>“</w:t>
            </w:r>
          </w:p>
          <w:p w:rsidR="00C72AE3" w:rsidRDefault="00C72AE3" w:rsidP="00C72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Това ще Ви осигури по-висока надеждност и възможност за централизиран контрол от страна на администратора. </w:t>
            </w:r>
            <w:r w:rsidR="00245A8C">
              <w:rPr>
                <w:rFonts w:ascii="Calibri" w:hAnsi="Calibri" w:cs="Calibri"/>
                <w:color w:val="000000"/>
              </w:rPr>
              <w:t xml:space="preserve"> Можете да позвъните в Центъра за обслужване на клиенти за да Ви помогнем.</w:t>
            </w:r>
          </w:p>
          <w:p w:rsidR="00424683" w:rsidRDefault="0042468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2AE3" w:rsidRPr="00881967" w:rsidTr="00881967">
        <w:trPr>
          <w:trHeight w:val="1980"/>
        </w:trPr>
        <w:tc>
          <w:tcPr>
            <w:tcW w:w="4531" w:type="dxa"/>
            <w:shd w:val="clear" w:color="auto" w:fill="auto"/>
            <w:vAlign w:val="center"/>
          </w:tcPr>
          <w:p w:rsidR="00C72AE3" w:rsidRDefault="00C72AE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Информационни системи свързани в </w:t>
            </w: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</w:p>
          <w:p w:rsidR="00C72AE3" w:rsidRPr="00C72AE3" w:rsidRDefault="00C72AE3" w:rsidP="004246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LAN</w:t>
            </w:r>
          </w:p>
        </w:tc>
        <w:tc>
          <w:tcPr>
            <w:tcW w:w="4531" w:type="dxa"/>
          </w:tcPr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ИМОТИ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ГИС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НАКАЗАТЕЛНИ ПОСТАНОВЛЕНИЯ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ТЪРГОВИЯ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ОБЩИНСКИ ВЗЕМАНИЯ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ЖИЛИЩНА КАРТОТЕКА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ЕТАЖНА СОБСТВЕНОСТ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ТЕМИДА</w:t>
            </w:r>
          </w:p>
          <w:p w:rsidR="00C72AE3" w:rsidRDefault="00E806A4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КАСА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АКСТЪР НАЕМИ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ОФИС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АКСТЪР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PKI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72AE3" w:rsidRP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C72AE3" w:rsidRPr="00881967" w:rsidTr="00C72AE3">
        <w:trPr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3" w:rsidRDefault="00C72AE3" w:rsidP="00D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 xml:space="preserve">Информационни системи свързани в </w:t>
            </w: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ab/>
            </w:r>
          </w:p>
          <w:p w:rsidR="00C72AE3" w:rsidRPr="00C72AE3" w:rsidRDefault="00C72AE3" w:rsidP="00D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W</w:t>
            </w: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„Кмете виж“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МДТ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УЕБ/МОБИЛЕН ОФИС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АКСТЪР ОБЩИНСКИ СЪВЕТ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ДОГОВОРИ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АКСТЪР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SMS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ПРОФИЛ НА КУПУВАЧА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ПОРТАЛ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ДЕЛОВОДНА СПРАВКА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КМЕТСТВА</w:t>
            </w:r>
          </w:p>
          <w:p w:rsidR="00C72AE3" w:rsidRP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УСЛУГИ</w:t>
            </w:r>
          </w:p>
        </w:tc>
      </w:tr>
      <w:tr w:rsidR="00C72AE3" w:rsidRPr="00881967" w:rsidTr="00C72AE3">
        <w:trPr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3" w:rsidRPr="00C72AE3" w:rsidRDefault="00C72AE3" w:rsidP="00D96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72A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С кои хоризонтални системи на ЕУ планирате интеграция през 2020 г.?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9" w:rsidRDefault="00635899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„Хоризонтални системи“ е общото наименование на системи, правени по отделни 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обществени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поръчки от различни фирми със средства  по оперативна програма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„А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дминистративен капацитет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и поддържани със средства от оперативна програма „Добро управление“.</w:t>
            </w:r>
          </w:p>
          <w:p w:rsidR="00C72AE3" w:rsidRDefault="00C72AE3" w:rsidP="00C72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Въпросът с интеграцията има две страни:</w:t>
            </w:r>
          </w:p>
          <w:p w:rsidR="00C72AE3" w:rsidRDefault="00676E2F" w:rsidP="00C72A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Хоризонталната с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истемата трябва да 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доказала 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работоспособн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остта си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да бъде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полезна</w:t>
            </w:r>
            <w:r w:rsidR="00635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администрацията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  <w:p w:rsidR="00C72AE3" w:rsidRDefault="00635899" w:rsidP="00C72A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При изпълнение на т.1 е н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еобходимо да се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отделят</w:t>
            </w:r>
            <w:r w:rsidR="00C72A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средства за внедряване на интеграци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онни модули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  <w:p w:rsidR="00635899" w:rsidRDefault="00635899" w:rsidP="00635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Към момента СГ група АКСТЪР предлага интеграция с:</w:t>
            </w:r>
          </w:p>
          <w:p w:rsidR="00635899" w:rsidRPr="00635899" w:rsidRDefault="00635899" w:rsidP="006358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5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е-Автентикация</w:t>
            </w:r>
          </w:p>
          <w:p w:rsidR="00635899" w:rsidRDefault="00635899" w:rsidP="006358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5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Връчване</w:t>
            </w:r>
          </w:p>
          <w:p w:rsidR="00635899" w:rsidRDefault="00635899" w:rsidP="006358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Regi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  <w:proofErr w:type="spellEnd"/>
          </w:p>
          <w:p w:rsidR="00635899" w:rsidRDefault="00635899" w:rsidP="00635899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635899" w:rsidRPr="00635899" w:rsidRDefault="00635899" w:rsidP="00676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Плащанията за 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е-услугите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може да се извършва през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широко използваните в страна системи и технологии като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ePay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PayPAL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easyPay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,</w:t>
            </w:r>
            <w:r w:rsidR="00676E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Виртуален терминал, банков превод и др</w:t>
            </w:r>
            <w:r w:rsidR="00E806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  <w:p w:rsidR="00635899" w:rsidRPr="00635899" w:rsidRDefault="00635899" w:rsidP="00635899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2EA6" w:rsidRDefault="00212EA6"/>
    <w:p w:rsidR="0083493B" w:rsidRDefault="00212EA6">
      <w:r>
        <w:t>Договорът за обслужване</w:t>
      </w:r>
      <w:r w:rsidR="00676E2F">
        <w:t xml:space="preserve"> на системите АКСТЪР</w:t>
      </w:r>
      <w:r>
        <w:t xml:space="preserve"> съдържа списък на внедрените и работещи във Вашата администрация системи.</w:t>
      </w:r>
    </w:p>
    <w:p w:rsidR="003B162A" w:rsidRDefault="003B162A" w:rsidP="00896A4F">
      <w:pPr>
        <w:pStyle w:val="Heading2"/>
      </w:pPr>
    </w:p>
    <w:p w:rsidR="00896A4F" w:rsidRDefault="00896A4F" w:rsidP="00896A4F">
      <w:pPr>
        <w:pStyle w:val="Heading2"/>
      </w:pPr>
      <w:r>
        <w:t>Лист „ДХЧО“ /</w:t>
      </w:r>
      <w:r w:rsidRPr="00896A4F">
        <w:t>Държавният хибриден частен облак</w:t>
      </w:r>
      <w:r w:rsidR="00786A29">
        <w:t xml:space="preserve"> </w:t>
      </w:r>
      <w:r>
        <w:t>/</w:t>
      </w:r>
    </w:p>
    <w:p w:rsidR="00786A29" w:rsidRPr="00786A29" w:rsidRDefault="00786A29" w:rsidP="00786A29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896A4F" w:rsidRPr="00896A4F" w:rsidTr="00896A4F">
        <w:trPr>
          <w:trHeight w:val="720"/>
        </w:trPr>
        <w:tc>
          <w:tcPr>
            <w:tcW w:w="3794" w:type="dxa"/>
          </w:tcPr>
          <w:p w:rsidR="00896A4F" w:rsidRPr="00896A4F" w:rsidRDefault="00896A4F" w:rsidP="00C93BCA">
            <w:r w:rsidRPr="00896A4F">
              <w:t>...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896A4F" w:rsidP="00C93BCA"/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Администрацията Ви използва ли облачни платформи в момента?</w:t>
            </w:r>
            <w:r w:rsidRPr="00896A4F">
              <w:tab/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Default="00676E2F" w:rsidP="00C93BCA">
            <w:r>
              <w:t>Облачни технологии използват следните системи от фамилията АКСТЪР: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ПРОФИЛ НА КУПУВАЧА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ПОРТАЛ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УЕБ УСЛУГИ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„Кмете виж“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АКСТЪР ДОГОВОРИ</w:t>
            </w:r>
          </w:p>
          <w:p w:rsidR="00676E2F" w:rsidRDefault="00676E2F" w:rsidP="00676E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АКСТЪР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SMS</w:t>
            </w:r>
          </w:p>
          <w:p w:rsidR="00676E2F" w:rsidRPr="00896A4F" w:rsidRDefault="00676E2F" w:rsidP="00C93BCA"/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За Вашата администрация, полезно ли е използването на ДХЧО и хранилището за данни на ЕУ?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76E2F" w:rsidP="00C93BCA">
            <w:r>
              <w:t>Принципно е полезно използван</w:t>
            </w:r>
            <w:r w:rsidR="003B162A">
              <w:t>е</w:t>
            </w:r>
            <w:r>
              <w:t>то на ресурси, предоставяни от държавата, особено, ако са инвестирани сериозни суми с цел „икономия от обема“.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 xml:space="preserve">Трудности и проблеми, ако ползвате ДХЧО 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76E2F" w:rsidP="00676E2F">
            <w:r>
              <w:t xml:space="preserve">Няма налична документация за начина, по който може да се използва тази опция.  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Необходим ресурс от ДХЧО  за развойна дейност през 2020 г.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76E2F" w:rsidP="00C93BCA">
            <w:r>
              <w:t>Няма информация как може да се използва ДХЧО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Готовност на администрацията Ви за използване на текущо предоставяните от ДХЧО услуги за развойна дейност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641EDA">
            <w:r>
              <w:t>Използването на ДХЧО е свързано с необходимостта да администрацията да планират средства за приложен софтуер, който да използва ДХЧО и средства за неговата експлоатация във времето.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"Вашата администрация подготвя ли ИС за миграция към ДХЧО  (</w:t>
            </w:r>
            <w:proofErr w:type="spellStart"/>
            <w:r w:rsidRPr="00896A4F">
              <w:t>Cloud</w:t>
            </w:r>
            <w:proofErr w:type="spellEnd"/>
            <w:r w:rsidRPr="00896A4F">
              <w:t xml:space="preserve"> </w:t>
            </w:r>
            <w:proofErr w:type="spellStart"/>
            <w:r w:rsidRPr="00896A4F">
              <w:t>ready</w:t>
            </w:r>
            <w:proofErr w:type="spellEnd"/>
            <w:r w:rsidRPr="00896A4F">
              <w:t>)?"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C93BCA">
            <w:r>
              <w:t>Виж предишните точки.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Имате ли потребност от увеличаване на предоставения обем за съхранение на критични данни  в хранилището на ЕУ?</w:t>
            </w:r>
            <w:r w:rsidRPr="00896A4F">
              <w:tab/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C93BCA">
            <w:r>
              <w:t>Към момента няма предоставен такъв ресурс – нито платен, нито „безплатен“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Имате ли готовност за използване на възможностите за съхранение на критични данни  в хранилището на ЕУ?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641EDA">
            <w:r>
              <w:t>Използването на какъвто и да е ресурс е свързано с внедряването на софтуер, който да извършва тази дейност. Необходимо е този софтуер да се поддържа.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 xml:space="preserve">Имате ли технически възможности и </w:t>
            </w:r>
            <w:r w:rsidRPr="00896A4F">
              <w:lastRenderedPageBreak/>
              <w:t>експертен капацитет за използване на ДХЧО и хранилището на ЕУ?</w:t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C93BCA">
            <w:r>
              <w:t>Виж предишните точки.</w:t>
            </w:r>
          </w:p>
        </w:tc>
      </w:tr>
      <w:tr w:rsidR="00896A4F" w:rsidRPr="00896A4F" w:rsidTr="00896A4F">
        <w:tc>
          <w:tcPr>
            <w:tcW w:w="3794" w:type="dxa"/>
          </w:tcPr>
          <w:p w:rsidR="00896A4F" w:rsidRPr="00896A4F" w:rsidRDefault="00896A4F" w:rsidP="00C93BCA">
            <w:r w:rsidRPr="00896A4F">
              <w:t>Според Вас необходими ли са организационни и/или  нормативни промени за използването на ДХЧО и хранилището за данни на ЕУ?</w:t>
            </w:r>
            <w:r w:rsidRPr="00896A4F">
              <w:tab/>
            </w:r>
          </w:p>
        </w:tc>
        <w:tc>
          <w:tcPr>
            <w:tcW w:w="1843" w:type="dxa"/>
          </w:tcPr>
          <w:p w:rsidR="00896A4F" w:rsidRPr="00896A4F" w:rsidRDefault="00896A4F" w:rsidP="00C93BCA"/>
        </w:tc>
        <w:tc>
          <w:tcPr>
            <w:tcW w:w="3969" w:type="dxa"/>
          </w:tcPr>
          <w:p w:rsidR="00896A4F" w:rsidRPr="00896A4F" w:rsidRDefault="00641EDA" w:rsidP="00C93BCA">
            <w:r>
              <w:t>Виж предишните точки.</w:t>
            </w:r>
          </w:p>
        </w:tc>
      </w:tr>
    </w:tbl>
    <w:p w:rsidR="007C2043" w:rsidRDefault="007C2043" w:rsidP="00896A4F"/>
    <w:p w:rsidR="00896A4F" w:rsidRPr="00786A29" w:rsidRDefault="007C2043" w:rsidP="00786A29">
      <w:pPr>
        <w:pStyle w:val="Heading1"/>
      </w:pPr>
      <w:r>
        <w:t>Лист е</w:t>
      </w:r>
      <w:r>
        <w:rPr>
          <w:lang w:val="en-US"/>
        </w:rPr>
        <w:t>ID</w:t>
      </w:r>
      <w:r w:rsidR="00786A29">
        <w:t xml:space="preserve"> / електронна идентификация</w:t>
      </w:r>
    </w:p>
    <w:p w:rsidR="007C2043" w:rsidRDefault="003B162A" w:rsidP="00896A4F">
      <w:r w:rsidRPr="00F7581A">
        <w:rPr>
          <w:b/>
        </w:rPr>
        <w:t>Електронната идентификация</w:t>
      </w:r>
      <w:r>
        <w:t xml:space="preserve"> на потребителите е един от десетте важни елемента на предоставянето на електронната административна услуга. </w:t>
      </w:r>
      <w:r w:rsidR="00F7581A">
        <w:t>Както е известно централизирания портал за електронни услуги действа от 2007 г. той е интегриран пряко с АИС на администрациите, които използват системите АКСТЪР, но може да се интегрира лесно и с други АИС.</w:t>
      </w:r>
    </w:p>
    <w:p w:rsidR="00F7581A" w:rsidRDefault="00F7581A" w:rsidP="00896A4F">
      <w:r>
        <w:t>Останалите важни елементи на електронните услуги са: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Простота при заявяване на е-услугите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Плащане на услугите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Комуникация с потребителя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Обработване на заявлението за услуга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Изпълнение на административната услуга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Връщане на отговор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Проследяване на процеса по предоставяне на услугата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Справки за предоставените услуги</w:t>
      </w:r>
    </w:p>
    <w:p w:rsidR="00F7581A" w:rsidRDefault="00F7581A" w:rsidP="00F7581A">
      <w:pPr>
        <w:pStyle w:val="ListParagraph"/>
        <w:numPr>
          <w:ilvl w:val="0"/>
          <w:numId w:val="3"/>
        </w:numPr>
      </w:pPr>
      <w:r>
        <w:t>Архив на предоставените документ</w:t>
      </w:r>
    </w:p>
    <w:p w:rsidR="00F7581A" w:rsidRPr="003B162A" w:rsidRDefault="00F7581A" w:rsidP="00F7581A">
      <w:pPr>
        <w:ind w:left="360"/>
      </w:pPr>
      <w:r>
        <w:t>Изисква се да се отговори на следните въпроси: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1358"/>
        <w:gridCol w:w="3118"/>
      </w:tblGrid>
      <w:tr w:rsidR="007C2043" w:rsidRPr="00786A29" w:rsidTr="00486AC0">
        <w:tc>
          <w:tcPr>
            <w:tcW w:w="4704" w:type="dxa"/>
          </w:tcPr>
          <w:p w:rsidR="007C2043" w:rsidRPr="00786A29" w:rsidRDefault="00786A29" w:rsidP="001554C9">
            <w:r w:rsidRPr="00786A29">
              <w:t>Въпрос</w:t>
            </w:r>
          </w:p>
        </w:tc>
        <w:tc>
          <w:tcPr>
            <w:tcW w:w="1358" w:type="dxa"/>
          </w:tcPr>
          <w:p w:rsidR="007C2043" w:rsidRPr="00786A29" w:rsidRDefault="007C2043" w:rsidP="001554C9">
            <w:r w:rsidRPr="00786A29">
              <w:t xml:space="preserve"> </w:t>
            </w:r>
            <w:r w:rsidR="00D01B00" w:rsidRPr="00786A29">
              <w:t>Отговор</w:t>
            </w:r>
          </w:p>
        </w:tc>
        <w:tc>
          <w:tcPr>
            <w:tcW w:w="3118" w:type="dxa"/>
          </w:tcPr>
          <w:p w:rsidR="007C2043" w:rsidRPr="00786A29" w:rsidRDefault="007C2043" w:rsidP="001554C9">
            <w:r w:rsidRPr="00786A29">
              <w:t>Коментар</w:t>
            </w:r>
          </w:p>
        </w:tc>
      </w:tr>
      <w:tr w:rsidR="007C2043" w:rsidRPr="00786A29" w:rsidTr="00486AC0">
        <w:tc>
          <w:tcPr>
            <w:tcW w:w="4704" w:type="dxa"/>
          </w:tcPr>
          <w:p w:rsidR="007C2043" w:rsidRPr="00786A29" w:rsidRDefault="007C2043" w:rsidP="001554C9">
            <w:r w:rsidRPr="00786A29">
              <w:t>Посочете броя на ЕАУ, предоставяни от Вашата администрация, за които е необходима електронна идентификация на заявителя.</w:t>
            </w:r>
          </w:p>
        </w:tc>
        <w:tc>
          <w:tcPr>
            <w:tcW w:w="1358" w:type="dxa"/>
          </w:tcPr>
          <w:p w:rsidR="007C2043" w:rsidRPr="00786A29" w:rsidRDefault="007C2043" w:rsidP="001554C9"/>
        </w:tc>
        <w:tc>
          <w:tcPr>
            <w:tcW w:w="3118" w:type="dxa"/>
          </w:tcPr>
          <w:p w:rsidR="007C2043" w:rsidRPr="00786A29" w:rsidRDefault="007C2043" w:rsidP="001554C9">
            <w:r w:rsidRPr="00786A29">
              <w:t>Броят на предостав</w:t>
            </w:r>
            <w:r w:rsidR="00486AC0" w:rsidRPr="00786A29">
              <w:t>е</w:t>
            </w:r>
            <w:r w:rsidRPr="00786A29">
              <w:t xml:space="preserve">ните </w:t>
            </w:r>
            <w:r w:rsidR="00486AC0" w:rsidRPr="00786A29">
              <w:t xml:space="preserve">от Вашата администрация </w:t>
            </w:r>
            <w:r w:rsidRPr="00786A29">
              <w:t>е-услуги може да се види от договора</w:t>
            </w:r>
            <w:r w:rsidR="00486AC0" w:rsidRPr="00786A29">
              <w:t xml:space="preserve"> за обслужване на тези услуги ил</w:t>
            </w:r>
            <w:r w:rsidRPr="00786A29">
              <w:t>и от</w:t>
            </w:r>
            <w:r w:rsidR="00486AC0" w:rsidRPr="00786A29">
              <w:t xml:space="preserve"> страницата за </w:t>
            </w:r>
            <w:r w:rsidRPr="00786A29">
              <w:t xml:space="preserve"> Вашата администрация на</w:t>
            </w:r>
            <w:r w:rsidR="00486AC0" w:rsidRPr="00786A29">
              <w:t xml:space="preserve"> портала   www.auslugi.com</w:t>
            </w:r>
          </w:p>
        </w:tc>
      </w:tr>
      <w:tr w:rsidR="007C2043" w:rsidRPr="00786A29" w:rsidTr="00486AC0">
        <w:tc>
          <w:tcPr>
            <w:tcW w:w="4704" w:type="dxa"/>
          </w:tcPr>
          <w:p w:rsidR="007C2043" w:rsidRPr="00786A29" w:rsidRDefault="007C2043" w:rsidP="001554C9">
            <w:r w:rsidRPr="00786A29">
              <w:t>Кои средства за електронна идентификация се използват във Вашата администрация за заявяване на ЕАУ от гражданите и бизнеса?</w:t>
            </w:r>
          </w:p>
        </w:tc>
        <w:tc>
          <w:tcPr>
            <w:tcW w:w="1358" w:type="dxa"/>
          </w:tcPr>
          <w:p w:rsidR="007C2043" w:rsidRPr="00786A29" w:rsidRDefault="007C2043" w:rsidP="001554C9"/>
        </w:tc>
        <w:tc>
          <w:tcPr>
            <w:tcW w:w="3118" w:type="dxa"/>
          </w:tcPr>
          <w:p w:rsidR="007C2043" w:rsidRPr="00786A29" w:rsidRDefault="00486AC0" w:rsidP="00486AC0">
            <w:r w:rsidRPr="00786A29">
              <w:t>ПИК на НАП; е-подпис; парола, получена в офиса на администрацията;</w:t>
            </w:r>
          </w:p>
          <w:p w:rsidR="00486AC0" w:rsidRPr="00786A29" w:rsidRDefault="00486AC0" w:rsidP="00486AC0">
            <w:r w:rsidRPr="00786A29">
              <w:t>Е-Автентикация</w:t>
            </w:r>
          </w:p>
        </w:tc>
      </w:tr>
      <w:tr w:rsidR="007C2043" w:rsidRPr="00786A29" w:rsidTr="00486AC0">
        <w:tc>
          <w:tcPr>
            <w:tcW w:w="4704" w:type="dxa"/>
          </w:tcPr>
          <w:p w:rsidR="007C2043" w:rsidRPr="00786A29" w:rsidRDefault="007C2043" w:rsidP="001554C9">
            <w:r w:rsidRPr="00786A29">
              <w:t>Посочете броя на ЕАУ, за които е необходимо заявя</w:t>
            </w:r>
            <w:r w:rsidR="00786A29">
              <w:t>ва</w:t>
            </w:r>
            <w:r w:rsidRPr="00786A29">
              <w:t>не с ниско, значително или високо ниво на осигуреност на средствата за електронна идентификация</w:t>
            </w:r>
            <w:r w:rsidR="00E02423">
              <w:t xml:space="preserve"> </w:t>
            </w:r>
            <w:r w:rsidRPr="00786A29">
              <w:t>*.</w:t>
            </w:r>
            <w:r w:rsidRPr="00786A29">
              <w:tab/>
            </w:r>
          </w:p>
        </w:tc>
        <w:tc>
          <w:tcPr>
            <w:tcW w:w="1358" w:type="dxa"/>
          </w:tcPr>
          <w:p w:rsidR="007C2043" w:rsidRPr="00786A29" w:rsidRDefault="007C2043" w:rsidP="001554C9"/>
        </w:tc>
        <w:tc>
          <w:tcPr>
            <w:tcW w:w="3118" w:type="dxa"/>
          </w:tcPr>
          <w:p w:rsidR="007C2043" w:rsidRPr="00786A29" w:rsidRDefault="00486AC0" w:rsidP="00E02423">
            <w:r w:rsidRPr="00786A29">
              <w:t>Нормат</w:t>
            </w:r>
            <w:r w:rsidR="00786A29">
              <w:t>и</w:t>
            </w:r>
            <w:r w:rsidRPr="00786A29">
              <w:t>вно трябва да се определи за кои услуги каква идентификация се изисква</w:t>
            </w:r>
            <w:r w:rsidR="00E02423">
              <w:t>.</w:t>
            </w:r>
          </w:p>
        </w:tc>
      </w:tr>
      <w:tr w:rsidR="007C2043" w:rsidRPr="00786A29" w:rsidTr="00486AC0">
        <w:tc>
          <w:tcPr>
            <w:tcW w:w="4704" w:type="dxa"/>
          </w:tcPr>
          <w:p w:rsidR="007C2043" w:rsidRPr="00786A29" w:rsidRDefault="007C2043" w:rsidP="001554C9">
            <w:r w:rsidRPr="00786A29">
              <w:t xml:space="preserve">"Предвиждате ли увеличаване през следващата година на предоставяните от Вашата администрация ЕАУ, за които е необходимо ниво на осигуреност „значително“ и „високо“? </w:t>
            </w:r>
          </w:p>
        </w:tc>
        <w:tc>
          <w:tcPr>
            <w:tcW w:w="1358" w:type="dxa"/>
          </w:tcPr>
          <w:p w:rsidR="007C2043" w:rsidRPr="00786A29" w:rsidRDefault="007C2043" w:rsidP="001554C9"/>
        </w:tc>
        <w:tc>
          <w:tcPr>
            <w:tcW w:w="3118" w:type="dxa"/>
          </w:tcPr>
          <w:p w:rsidR="007C2043" w:rsidRPr="00786A29" w:rsidRDefault="00486AC0" w:rsidP="00486AC0">
            <w:r w:rsidRPr="00786A29">
              <w:t xml:space="preserve">Въпросът с разширение на броя на „е-услугите“, които се предоставят от администрацията е финансов въпрос и изцяло зависи от </w:t>
            </w:r>
            <w:r w:rsidRPr="00786A29">
              <w:lastRenderedPageBreak/>
              <w:t>отделените за това бюджетни средства.</w:t>
            </w:r>
          </w:p>
        </w:tc>
      </w:tr>
    </w:tbl>
    <w:p w:rsidR="007C2043" w:rsidRDefault="007C2043" w:rsidP="007C2043"/>
    <w:p w:rsidR="00486AC0" w:rsidRDefault="00486AC0" w:rsidP="00486AC0">
      <w:pPr>
        <w:pStyle w:val="Heading1"/>
      </w:pPr>
      <w:r>
        <w:t>Лист МИС</w:t>
      </w:r>
      <w:r w:rsidR="00E02423">
        <w:t xml:space="preserve"> /Мрежова и информационна сигурност/</w:t>
      </w:r>
    </w:p>
    <w:p w:rsidR="00486AC0" w:rsidRDefault="00486AC0" w:rsidP="007C20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606"/>
        <w:gridCol w:w="3226"/>
      </w:tblGrid>
      <w:tr w:rsidR="00D01B00" w:rsidRPr="00D01B00" w:rsidTr="00D01B00">
        <w:tc>
          <w:tcPr>
            <w:tcW w:w="3456" w:type="dxa"/>
          </w:tcPr>
          <w:p w:rsidR="00D01B00" w:rsidRPr="00D01B00" w:rsidRDefault="00D01B00" w:rsidP="002122F2"/>
        </w:tc>
        <w:tc>
          <w:tcPr>
            <w:tcW w:w="2606" w:type="dxa"/>
          </w:tcPr>
          <w:p w:rsidR="00D01B00" w:rsidRPr="00D01B00" w:rsidRDefault="00D01B00" w:rsidP="002122F2">
            <w:r>
              <w:t>Отговор</w:t>
            </w:r>
          </w:p>
        </w:tc>
        <w:tc>
          <w:tcPr>
            <w:tcW w:w="3226" w:type="dxa"/>
          </w:tcPr>
          <w:p w:rsidR="00D01B00" w:rsidRPr="00D01B00" w:rsidRDefault="00D01B00" w:rsidP="002122F2">
            <w:r>
              <w:t>Коментар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>"Има ли разработена и утвърдена политика за информационна сигурност?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E02423">
            <w:r>
              <w:t xml:space="preserve">Такава политика е задължителна част от </w:t>
            </w:r>
            <w:r w:rsidRPr="00E02423">
              <w:rPr>
                <w:b/>
              </w:rPr>
              <w:t xml:space="preserve">стандарта </w:t>
            </w:r>
            <w:r w:rsidRPr="00E02423">
              <w:rPr>
                <w:b/>
                <w:lang w:val="en-US"/>
              </w:rPr>
              <w:t>ISO 27001</w:t>
            </w:r>
            <w:r>
              <w:t>. Правилно е администрацията да се сертифицира по този стандарт</w:t>
            </w:r>
            <w:r w:rsidR="00E02423">
              <w:t>. За това са необходими значителни усилия от администрацията и планирането на необходимите средства. Опитите в миналото това да стане „масово“ по някои евро проект се оказаха неуспешни.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>"Направена ли е оценка и анализ на риска за 2018 г.?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2122F2">
            <w:r>
              <w:t xml:space="preserve">Този анализ е задължителна част от стандарта </w:t>
            </w:r>
            <w:r w:rsidRPr="00E02423">
              <w:rPr>
                <w:b/>
                <w:lang w:val="en-US"/>
              </w:rPr>
              <w:t>ISO 27001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>"Има ли разработени и утвърдени СОП за управление на инциденти в МИС?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E02423">
            <w:r>
              <w:t xml:space="preserve">Такива процедуро </w:t>
            </w:r>
            <w:r w:rsidR="00E02423">
              <w:t>с</w:t>
            </w:r>
            <w:r>
              <w:t xml:space="preserve">а задължителна част от стандарта </w:t>
            </w:r>
            <w:r>
              <w:rPr>
                <w:lang w:val="en-US"/>
              </w:rPr>
              <w:t>ISO 27001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>"Колко инцидента в областта на МИС регистрирахте през отчетния период?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D01B00">
            <w:r>
              <w:t>Такива инциденти могат да бъдат регистрирани при наличие на определена компетентност на персонала, за което трябва да се провежда системно обучение по МИС</w:t>
            </w:r>
            <w:r w:rsidR="00E02423">
              <w:t>.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 xml:space="preserve">"Има ли клаузи за защита от </w:t>
            </w:r>
            <w:proofErr w:type="spellStart"/>
            <w:r w:rsidRPr="00D01B00">
              <w:t>DDoS</w:t>
            </w:r>
            <w:proofErr w:type="spellEnd"/>
            <w:r w:rsidRPr="00D01B00">
              <w:t xml:space="preserve"> атака в договорите с външни доставчици?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2122F2">
            <w:r>
              <w:t xml:space="preserve">Най вероятно </w:t>
            </w:r>
            <w:r w:rsidRPr="00E02423">
              <w:rPr>
                <w:b/>
              </w:rPr>
              <w:t>не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>"Използвате ли защитна стена?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D01B00" w:rsidRDefault="00D01B00" w:rsidP="002122F2">
            <w:r>
              <w:t>ДА</w:t>
            </w:r>
          </w:p>
        </w:tc>
      </w:tr>
      <w:tr w:rsidR="00D01B00" w:rsidRPr="00D01B00" w:rsidTr="00D01B00">
        <w:tc>
          <w:tcPr>
            <w:tcW w:w="3456" w:type="dxa"/>
          </w:tcPr>
          <w:p w:rsidR="00D01B00" w:rsidRPr="00D01B00" w:rsidRDefault="00D01B00" w:rsidP="002122F2">
            <w:r w:rsidRPr="00D01B00">
              <w:t xml:space="preserve">"Осигурен ли е лиценз за 2020 г. за защитната стена?  </w:t>
            </w:r>
          </w:p>
        </w:tc>
        <w:tc>
          <w:tcPr>
            <w:tcW w:w="2606" w:type="dxa"/>
          </w:tcPr>
          <w:p w:rsidR="00D01B00" w:rsidRPr="00D01B00" w:rsidRDefault="00D01B00" w:rsidP="002122F2"/>
        </w:tc>
        <w:tc>
          <w:tcPr>
            <w:tcW w:w="3226" w:type="dxa"/>
          </w:tcPr>
          <w:p w:rsidR="00D01B00" w:rsidRPr="00786A29" w:rsidRDefault="00D01B00" w:rsidP="00D01B00">
            <w:pPr>
              <w:rPr>
                <w:lang w:val="en-US"/>
              </w:rPr>
            </w:pPr>
            <w:r>
              <w:t>Обикновено  в малките администрации се използват възмож</w:t>
            </w:r>
            <w:bookmarkStart w:id="0" w:name="_GoBack"/>
            <w:bookmarkEnd w:id="0"/>
            <w:r>
              <w:t>ностите на рутерите и възможностите на операционните системи</w:t>
            </w:r>
            <w:r w:rsidR="00E02423">
              <w:t xml:space="preserve"> за изграждане на защитна стена. </w:t>
            </w:r>
            <w:r w:rsidR="0092050D">
              <w:t>.</w:t>
            </w:r>
          </w:p>
        </w:tc>
      </w:tr>
    </w:tbl>
    <w:p w:rsidR="00486AC0" w:rsidRDefault="00486AC0" w:rsidP="00D01B00"/>
    <w:p w:rsidR="00E02423" w:rsidRDefault="00E02423" w:rsidP="00D01B00"/>
    <w:p w:rsidR="00E02423" w:rsidRDefault="00E02423" w:rsidP="00D01B00"/>
    <w:p w:rsidR="00E02423" w:rsidRPr="00486AC0" w:rsidRDefault="00E02423" w:rsidP="00D01B00">
      <w:r>
        <w:t>Екип на СГ АКСТЪР</w:t>
      </w:r>
    </w:p>
    <w:sectPr w:rsidR="00E02423" w:rsidRPr="0048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70A"/>
    <w:multiLevelType w:val="hybridMultilevel"/>
    <w:tmpl w:val="18D61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1D7F"/>
    <w:multiLevelType w:val="hybridMultilevel"/>
    <w:tmpl w:val="E7E61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0D07"/>
    <w:multiLevelType w:val="hybridMultilevel"/>
    <w:tmpl w:val="E48C5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E"/>
    <w:rsid w:val="00021202"/>
    <w:rsid w:val="00071B1A"/>
    <w:rsid w:val="00212EA6"/>
    <w:rsid w:val="00245A8C"/>
    <w:rsid w:val="003B162A"/>
    <w:rsid w:val="00424683"/>
    <w:rsid w:val="00474F16"/>
    <w:rsid w:val="00486AC0"/>
    <w:rsid w:val="00635899"/>
    <w:rsid w:val="00641EDA"/>
    <w:rsid w:val="0067236D"/>
    <w:rsid w:val="00676E2F"/>
    <w:rsid w:val="00786A29"/>
    <w:rsid w:val="007C2043"/>
    <w:rsid w:val="0083493B"/>
    <w:rsid w:val="00881967"/>
    <w:rsid w:val="00896A4F"/>
    <w:rsid w:val="008A4D9E"/>
    <w:rsid w:val="0092050D"/>
    <w:rsid w:val="009D1CA4"/>
    <w:rsid w:val="00AF439D"/>
    <w:rsid w:val="00BC726C"/>
    <w:rsid w:val="00C72AE3"/>
    <w:rsid w:val="00D01B00"/>
    <w:rsid w:val="00E02423"/>
    <w:rsid w:val="00E04E04"/>
    <w:rsid w:val="00E806A4"/>
    <w:rsid w:val="00F146B4"/>
    <w:rsid w:val="00F7581A"/>
    <w:rsid w:val="00F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D1A6A"/>
  <w15:docId w15:val="{1833F198-9088-4D1E-A810-B6898C5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2E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A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6A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 A. Aladjem</dc:creator>
  <cp:keywords/>
  <dc:description/>
  <cp:lastModifiedBy>Alexander Petkov</cp:lastModifiedBy>
  <cp:revision>12</cp:revision>
  <dcterms:created xsi:type="dcterms:W3CDTF">2019-07-19T13:27:00Z</dcterms:created>
  <dcterms:modified xsi:type="dcterms:W3CDTF">2019-07-22T05:46:00Z</dcterms:modified>
</cp:coreProperties>
</file>